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22 199 vom 10. April 2024</w:t>
      </w:r>
    </w:p>
    <w:p>
      <w:r>
        <w:t>VS Kantonsgericht, 2024-04-10, FR</w:t>
      </w:r>
    </w:p>
    <w:p>
      <w:r>
        <w:rPr>
          <w:b/>
        </w:rPr>
        <w:t xml:space="preserve">Quelle: </w:t>
      </w:r>
      <w:r>
        <w:t>https://mcp.opencaselaw.ch/entscheid/vs_gerichte_S1 22 199</w:t>
      </w:r>
    </w:p>
    <w:p>
      <w:r>
        <w:t>FR: VS_GERICHTE S1 22 199 du 10 avril 2024</w:t>
      </w:r>
    </w:p>
    <w:p>
      <w:r>
        <w:t>IT: VS_GERICHTE S1 22 199 del 10 aprile 2024</w:t>
      </w:r>
    </w:p>
    <w:p>
      <w:pPr>
        <w:pStyle w:val="Heading2"/>
      </w:pPr>
      <w:r>
        <w:t>Regeste</w:t>
      </w:r>
    </w:p>
    <w:p>
      <w:r>
        <w:t>S1 22 199 ARRÊT DU 10 AVRIL 2024 Tribunal cantonal du Valais Cour des assurances sociales Composition : Candido Prada, président ; Jean-Bernard Fournier et Christophe Joris, juges ; Simon Hausammann, greffier en la cause X _________, recourant, représenté par Maître Michel De Palma, avocat, Sion contre OFFICE CANTONAL AI DU VALAIS, intimé (art. 17 LPGA ; diminution et suppression d’une rente AI, valeur probante d’une expertise)</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Posté le 21 novembre 2022, le recours à l'encontre de la décision du 18 octobre précédent a été interjeté dans le délai légal de trente jours (art. 60 LPGA), et devant l'instance compétente (art. 56 et 57 LPGA ; 69 al. 1 let. a LAI ; art. 81a al. 1 LPJA). Il</w:t>
      </w:r>
    </w:p>
    <w:p>
      <w:r>
        <w:t>- 6 - répond par ailleurs aux autres conditions formelles de recevabilité (art. 61 let. b LPGA), de sorte que la Cour doit entrer en matière.</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146 V 364 consid. 7.1 et 144 V 210 consid. 4.3.1). En l’occurrence, si la décision entreprise est postérieure au 1er janvier 2022, le droit potentiel à la rente du recourant est pour sa part antérieur à cette date, si bien qu’il doit être examiné selon les normes en vigueur jusqu’au 31 décembre 2021. Les dispositions citées ci-après seront donc mentionnées, sauf avis contraire, dans leur teneur au 31 décembre 2021.</w:t>
      </w:r>
    </w:p>
    <w:p>
      <w:r>
        <w:rPr>
          <w:b/>
        </w:rPr>
        <w:t>E. 1.3</w:t>
      </w:r>
    </w:p>
    <w:p>
      <w:r>
        <w:t>Faisant usage d’un droit que la loi lui reconnaît (art. 56 al. 1, 17 al. 2 et 19 al. 1 LPJA), le recourant sollicite, à titre de moyens de preuve, l’édition du dossier de l’intimé ainsi que l’édition du dossier S1 19 235 de la Cour de céans. Ces requêtes sont satisfaites, puisque le dossier de la partie intimée, comprenant les pièces de la cause S1 19 235, a été produit en date du 14 décembre 2022.</w:t>
      </w:r>
    </w:p>
    <w:p>
      <w:r>
        <w:rPr>
          <w:b/>
        </w:rPr>
        <w:t>E. 2</w:t>
      </w:r>
    </w:p>
    <w:p>
      <w:r>
        <w:t>Le litige s’inscrit dans le cadre d’une procédure de révision d’office ayant amené l’OAI à diminuer puis supprimer la rente d’invalidité du recourant.</w:t>
      </w:r>
    </w:p>
    <w:p>
      <w:r>
        <w:rPr>
          <w:b/>
        </w:rPr>
        <w:t>E. 2.1</w:t>
      </w:r>
    </w:p>
    <w:p>
      <w:r>
        <w:t>A teneur de l'article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130 V 71 consid. 3.2 ; arrêt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w:t>
      </w:r>
    </w:p>
    <w:p>
      <w:r>
        <w:t>- 7 -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387consid. 1b).</w:t>
      </w:r>
    </w:p>
    <w:p>
      <w:r>
        <w:rPr>
          <w:b/>
        </w:rPr>
        <w:t>E. 2.2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En outre, cette comparaison des revenus doit s’effectuer au moment de l’ouverture du droit à une éventuelle rente et non lors de la décision litigieuse (ATF 128 V 174 consid. 4a). 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DSM-V (notamment : ATF 143 V 409 consid. 4.5.2 et 141 V 281 consid. 2.2 et 3.2; arrêts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w:t>
      </w:r>
    </w:p>
    <w:p>
      <w:r>
        <w:t>- 8 -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2.3</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dépend de la question de savoir si celle qui se trouve déjà au dossier remplit les exigences de forme et de fond posées pour la valeur probante d’une expertise médicale (arrêt U 571/06 du 29 mai 2007 consid. 4.2 et les références).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w:t>
      </w:r>
    </w:p>
    <w:p>
      <w:r>
        <w:t>- 9 - nature à éveiller des doutes sur la fiabilité et la validité des constatations du médecin de l'assurance (arrêt 8C_796/2016 précité consid. 3.3). Enfin, les rapports et expertises de médecins internes à l'assurance ont également une valeur probante pour autant qu'ils apparaissent concluants, soient motivés de manière compréhensible, ne soient pas contradictoires en soi et qu'il n'existe aucun indice contre leur fiabilité. Le seul fait que le médecin soit employé par l'assureur ne permet pas de conclure à un manque d'objectivité et à une partialité. Il faut au contraire des circonstances particulières qui font apparaître objectivement comme fondée la méfiance à l'égard de l'impartialité de l'évaluation. Compte tenu de l'importance considérable que revêtent les rapports médicaux dans le droit des assurances sociales, il convient toutefois d'appliquer des critères stricts à l'impartialité de l'expert (ATF 125 V 351 consid. 3/ee et 122 V 161 s. consid. 1c). Les rapports des médecins employés de l'assurance sont à prendre en considération tant qu'il n'existe aucun doute, même minime, sur l'exactitude de leurs conclusions (ATF 135 V 465 consid. 4.7).</w:t>
      </w:r>
    </w:p>
    <w:p>
      <w:r>
        <w:rPr>
          <w:b/>
        </w:rPr>
        <w:t>E. 3</w:t>
      </w:r>
    </w:p>
    <w:p>
      <w:r>
        <w:t>Dans le cas d’espèce, l’OAI a repris l’instruction médicale après que le dossier lui ait été renvoyé par jugement du 4 janvier 2022 de la Cour de céans (S1 19 235).</w:t>
      </w:r>
    </w:p>
    <w:p>
      <w:r>
        <w:rPr>
          <w:b/>
        </w:rPr>
        <w:t>E. 3.1</w:t>
      </w:r>
    </w:p>
    <w:p>
      <w:r>
        <w:t>Ce renvoi se justifiait au vu des doutes qui subsistaient quant à la capacité résiduelle de travail du recourant, en raison des troubles psychiques qui avaient été diagnostiqués à la suite de son accident du 15 juillet 2015. L’avis du SMR avait alors été jugé comme insuffisamment motivé pour lever ces différents doutes et les opinions médicales divergentes justifiaient qu’une mesure complémentaire soit mise en œuvre. Le dossier a dès lors été renvoyé à l’intimé pour instruction complémentaire et examen du droit du recourant à des prestations au-delà du 30 novembre 2018. Dans sa décision du</w:t>
      </w:r>
    </w:p>
    <w:p>
      <w:r>
        <w:rPr>
          <w:b/>
        </w:rPr>
        <w:t>E. 3.2</w:t>
      </w:r>
    </w:p>
    <w:p>
      <w:r>
        <w:t>Cela étant, conformément aux considérants de ce jugement, une expertise psychiatrique a été mise en œuvre auprès d’un médecin-psychiatre indépendant. Selon le Dr D _________, le recourant souffrait d’un état de stress post-traumatique (F43.1) depuis 2015 qui était en rémission partielle mais significative depuis septembre 2018, de sorte qu’une activité adaptée pouvait être reprise à plein temps depuis cette période.</w:t>
      </w:r>
    </w:p>
    <w:p>
      <w:r>
        <w:t>- 10 - L’expertise du 14 juin 2022 répond manifestement à toutes les exigences jurisprudentielles afin de lui reconnaître une pleine valeur probante. Les brèves critiques qu’émet le recourant à son encontre ne sont aucunement fondées, portent sur des considérations générales et ne contiennent pas de motifs suffisants justifiant de s’écarter des conclusions de l’expertise du Dr D _________. En particulier, on ne relève aucune contradiction manifeste dans les constatations de l’expert et il n’apparaît pas que des éléments essentiels auraient été ignorés dans son analyse. Au contraire, on note que le rapport d’expertise reprend en détail l’anamnèse de l’intéressé et qu’il tient compte de l’ensemble des avis médicaux au dossier, y compris celui du Dr A _________, que l’expert a pris le soin d’exposé d’une manière approfondie sur plusieurs pages (cf. motif et circonstances de l’expertise, point 1.2). Le Dr D _________ a ensuite procédé à un entretien et un examen clinique de l’intéressé, durant lesquels celui-ci a pu lui décrire ses plaintes et sa situation personnelle et professionnelle actuelle. Ces entretiens se sont déroulés sur deux jours distincts et ont duré environ 6 heures, ce qui était amplement suffisant pour que l’expert puisse arrêter des diagnostics sur la base de constatations objectives (arrêt 9C_457/2021 du 13 avril 2022 consid. 6.2 et les références ; arrêts 9C_309/2022 du 28 mars 2023 consid. 5.2.1 et 9C_133/2012 du 29 août 2012 consid. 3.2.1 dans lesquels un examen psychiatrique d’une heure a été jugé comme suffisant). Ce dernier a ensuite expliqué d’une manière fondée et cohérente que le diagnostic d’état de stress post-traumatique (F43.1) était en rémission significative depuis septembre 2018. L’expert a en outre soumis son diagnostic à la procédure probatoire structurée telle que requise par la jurisprudence (ATF précités 143 V 409 consid. 4.5.2 et 141 V 281 consid. 2.2 et 3.2) avant de conclure à l’absence de gravité du trouble. Cette manière de procéder n’a fait l’objet d’aucune critique sérieuse de la part du recourant, lequel se limite à évoquer que sa thérapie auprès du Dr A _________ s’était étendue jusqu’en novembre 2021, alors que ce médecin traitant a déclaré ne pas avoir vu l’intéressé en 2021. Le simple fait qu’il consommait encore un antidépresseur (Seroten® ; pièce OAI 255) ne suffit de surcroît pas à justifier une incapacité de travail dans une activité adaptée. Il ne produit d’ailleurs aucun avis médical motivé qui ferait état d’une incapacité de travail encore au-delà du 1er septembre 2018 et qui serait susceptible de remettre en cause la valeur probante de l’expertise du Dr D _________. La date fixée au 1er septembre 2018 pour la reprise d’une activité adaptée ne prête par conséquent pas le flanc à la critique. Aucun élément au dossier ne laisse en effet supposer qu’une incapacité de travail totale subsistait au-delà de cette date dans toute activité. Le recourant a d’ailleurs lui-même admis qu’il aurait probablement pu débuter son emploi en qualité de magasinier plus rapidement si l’occasion lui en avait été donnée</w:t>
      </w:r>
    </w:p>
    <w:p>
      <w:r>
        <w:t>- 11 - (p. 27 de l’expertise ; pièce OAI 249). L’expert ayant observé une amélioration significative de l’état de stress post-traumatique en septembre 2018, retenir cette période pour fixer le moment à partir duquel une activité adaptée aurait pu être reprise est fondé et doit être confirmé.</w:t>
      </w:r>
    </w:p>
    <w:p>
      <w:r>
        <w:rPr>
          <w:b/>
        </w:rPr>
        <w:t>E. 3.3</w:t>
      </w:r>
    </w:p>
    <w:p>
      <w:r>
        <w:t>Au vu des éléments qui précèdent, l’expertise psychiatrique du 14 juin 2022 apporte désormais tous les éléments nécessaires pour juger de la capacité résiduelle de travail du recourant dans une activité adaptée, compte tenu de ses troubles psychiques. Il ne fait ainsi plus de doute que le recourant avait récupéré une pleine capacité de travail dans une activité adaptée depuis le 1er septembre 2018. Le taux d’invalidité, arrêté à 2% par l’intimé, n’a au demeurant fait l’objet d’aucune contestation spécifique par l’intéressé. A juste titre, puisqu’il a été arrêté conformément au système légal (art. 16 LPGA, 28 LAI et 25ss RAI) et à la jurisprudence y relative. Un tel taux d’invalidité de 2% n’ouvrant pas le droit à des prestations de l’AI, l’OAI pouvait par conséquent limiter la rente d’invalidité au 30 novembre 2018 (art. 17 al. 1 let. a LPGA et 88a al. 1 RAI). Il s’ensuit le rejet du recours du 21 novembre 2022 et la confirmation de la décision du 18 octobre précédent.</w:t>
      </w:r>
    </w:p>
    <w:p>
      <w:r>
        <w:rPr>
          <w:b/>
        </w:rPr>
        <w:t>E. 4</w:t>
      </w:r>
    </w:p>
    <w:p>
      <w:r>
        <w:t>octobre 2019, l’OAI a en effet versé ses prestations jusqu’au 30 novembre 2018 en application de l’article 88a alinéa 1 RAI, lequel spécifie qu’une rente d’invalidité est diminuée, respectivement supprimée, trois mois après un changement de circonstances qui était en l’occurrence la récupération d’une pleine capacité de travail dans une activité adaptée à partir du 1er septembre 2018. Cela ne permet en revanche nullement d’affirmer qu’une incapacité de gain serait médicalement attestée jusqu’au 30 novembre 2018.</w:t>
      </w:r>
    </w:p>
    <w:p>
      <w:r>
        <w:rPr>
          <w:b/>
        </w:rPr>
        <w:t>E. 4.1</w:t>
      </w:r>
    </w:p>
    <w:p>
      <w:r>
        <w:t>Les frais de justice, arrêtés à 500 fr., fixés selon les principes de la couverture des coûts et de l’équivalence des prestations, sont mis à la charge du recourant qui succombe (art. 61 let. fbis LPGA ; art. 69 al. 1bis LAI), le montant étant compensé par l’avance de frais, d’un montant équivalent, déjà versée.</w:t>
      </w:r>
    </w:p>
    <w:p>
      <w:r>
        <w:rPr>
          <w:b/>
        </w:rPr>
        <w:t>E. 4.2</w:t>
      </w:r>
    </w:p>
    <w:p>
      <w:r>
        <w:t>Vu l’issue de la cause, le recourant ne peut pas prétendre à des dépens (art. 61 let. g LPGA a contrario), ni d’ailleurs l’OAI (art. 91 al. 3 LPJA).</w:t>
      </w:r>
    </w:p>
    <w:p>
      <w:r>
        <w:t>Prononce</w:t>
      </w:r>
    </w:p>
    <w:p>
      <w:r>
        <w:t>1. Le recours est rejeté. 2. Les frais, par 500 francs, sont mis à la charge de X _________. 3. Il n’est pas alloué de dépens. Sion, le 10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